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8FBB" w14:textId="77777777" w:rsidR="00F70E94" w:rsidRDefault="00F70E94" w:rsidP="004A5E5C">
      <w:pPr>
        <w:spacing w:after="120"/>
        <w:jc w:val="center"/>
        <w:rPr>
          <w:b/>
          <w:bCs/>
          <w:sz w:val="40"/>
          <w:szCs w:val="40"/>
        </w:rPr>
      </w:pPr>
      <w:bookmarkStart w:id="0" w:name="_Hlk37930070"/>
      <w:bookmarkStart w:id="1" w:name="_Hlk37930464"/>
    </w:p>
    <w:p w14:paraId="2B4CBC2A" w14:textId="169A2507" w:rsidR="00F70E94" w:rsidRDefault="00F70E94" w:rsidP="004A5E5C">
      <w:pPr>
        <w:spacing w:after="120"/>
        <w:jc w:val="center"/>
        <w:rPr>
          <w:b/>
          <w:bCs/>
          <w:sz w:val="40"/>
          <w:szCs w:val="40"/>
        </w:rPr>
      </w:pPr>
      <w:r>
        <w:rPr>
          <w:noProof/>
        </w:rPr>
        <w:drawing>
          <wp:inline distT="0" distB="0" distL="0" distR="0" wp14:anchorId="328B2AE0" wp14:editId="1FF8A918">
            <wp:extent cx="1812022" cy="1041224"/>
            <wp:effectExtent l="0" t="0" r="4445" b="635"/>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2BE17EF3" w14:textId="4F0FC6DC" w:rsidR="004A5E5C" w:rsidRPr="00F70E94" w:rsidRDefault="004A5E5C" w:rsidP="004A5E5C">
      <w:pPr>
        <w:spacing w:after="120"/>
        <w:jc w:val="center"/>
        <w:rPr>
          <w:b/>
          <w:bCs/>
          <w:sz w:val="40"/>
          <w:szCs w:val="40"/>
        </w:rPr>
      </w:pPr>
      <w:r w:rsidRPr="00F70E94">
        <w:rPr>
          <w:rFonts w:ascii="&amp;quot" w:hAnsi="&amp;quot"/>
          <w:noProof/>
          <w:color w:val="68D100"/>
        </w:rPr>
        <w:drawing>
          <wp:anchor distT="0" distB="0" distL="114300" distR="114300" simplePos="0" relativeHeight="251659264" behindDoc="1" locked="0" layoutInCell="1" allowOverlap="1" wp14:anchorId="04D00BEB" wp14:editId="3C65EF78">
            <wp:simplePos x="0" y="0"/>
            <wp:positionH relativeFrom="column">
              <wp:posOffset>-323850</wp:posOffset>
            </wp:positionH>
            <wp:positionV relativeFrom="paragraph">
              <wp:posOffset>1270</wp:posOffset>
            </wp:positionV>
            <wp:extent cx="621665" cy="723900"/>
            <wp:effectExtent l="0" t="0" r="6985" b="0"/>
            <wp:wrapTight wrapText="bothSides">
              <wp:wrapPolygon edited="0">
                <wp:start x="0" y="0"/>
                <wp:lineTo x="0" y="568"/>
                <wp:lineTo x="1324" y="14779"/>
                <wp:lineTo x="1986" y="17621"/>
                <wp:lineTo x="5295" y="18189"/>
                <wp:lineTo x="6619" y="20463"/>
                <wp:lineTo x="14562" y="20463"/>
                <wp:lineTo x="15224" y="18189"/>
                <wp:lineTo x="18533" y="18189"/>
                <wp:lineTo x="20519" y="14211"/>
                <wp:lineTo x="21181" y="568"/>
                <wp:lineTo x="21181" y="0"/>
                <wp:lineTo x="0" y="0"/>
              </wp:wrapPolygon>
            </wp:wrapTight>
            <wp:docPr id="3" name="Picture 3"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eron Ow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E94">
        <w:rPr>
          <w:rFonts w:ascii="&amp;quot" w:hAnsi="&amp;quot"/>
          <w:noProof/>
          <w:color w:val="68D100"/>
        </w:rPr>
        <w:drawing>
          <wp:anchor distT="0" distB="0" distL="114300" distR="114300" simplePos="0" relativeHeight="251660288" behindDoc="1" locked="0" layoutInCell="1" allowOverlap="1" wp14:anchorId="2DA091CE" wp14:editId="0406630E">
            <wp:simplePos x="0" y="0"/>
            <wp:positionH relativeFrom="column">
              <wp:posOffset>9481185</wp:posOffset>
            </wp:positionH>
            <wp:positionV relativeFrom="paragraph">
              <wp:posOffset>0</wp:posOffset>
            </wp:positionV>
            <wp:extent cx="662305" cy="771525"/>
            <wp:effectExtent l="0" t="0" r="4445" b="0"/>
            <wp:wrapTight wrapText="bothSides">
              <wp:wrapPolygon edited="0">
                <wp:start x="0" y="0"/>
                <wp:lineTo x="0" y="533"/>
                <wp:lineTo x="2485" y="8533"/>
                <wp:lineTo x="1243" y="12267"/>
                <wp:lineTo x="1243" y="16000"/>
                <wp:lineTo x="6213" y="19733"/>
                <wp:lineTo x="6834" y="20800"/>
                <wp:lineTo x="14290" y="20800"/>
                <wp:lineTo x="14911" y="19733"/>
                <wp:lineTo x="19881" y="17067"/>
                <wp:lineTo x="19881" y="11733"/>
                <wp:lineTo x="18639" y="8533"/>
                <wp:lineTo x="21124" y="533"/>
                <wp:lineTo x="21124" y="0"/>
                <wp:lineTo x="0" y="0"/>
              </wp:wrapPolygon>
            </wp:wrapTight>
            <wp:docPr id="4" name="Picture 4"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eron Owl">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E94">
        <w:rPr>
          <w:b/>
          <w:bCs/>
          <w:sz w:val="40"/>
          <w:szCs w:val="40"/>
        </w:rPr>
        <w:t>Discovery RE Knowledge Organiser</w:t>
      </w:r>
    </w:p>
    <w:bookmarkEnd w:id="0"/>
    <w:p w14:paraId="3426C6EE" w14:textId="77777777" w:rsidR="009C1827" w:rsidRDefault="009C1827" w:rsidP="009C1827">
      <w:pPr>
        <w:pStyle w:val="Header"/>
        <w:jc w:val="center"/>
      </w:pPr>
      <w:r>
        <w:t>This knowledge organiser is a guide, offering key information to point the teacher in the right direction as to the beliefs underpinning the particular enquiry.</w:t>
      </w:r>
    </w:p>
    <w:p w14:paraId="39B3DC50" w14:textId="1B9AAB67" w:rsidR="00CA7DB3" w:rsidRPr="009C1827" w:rsidRDefault="009C1827" w:rsidP="009C1827">
      <w:pPr>
        <w:pStyle w:val="Header"/>
        <w:jc w:val="center"/>
      </w:pPr>
      <w:r>
        <w:t>The summaries must not be taken as the beliefs of ALL members of the particular religion.</w:t>
      </w:r>
      <w:bookmarkEnd w:id="1"/>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8505"/>
        <w:gridCol w:w="3832"/>
      </w:tblGrid>
      <w:tr w:rsidR="00581395" w14:paraId="4CCD702E" w14:textId="77777777" w:rsidTr="004A5E5C">
        <w:tc>
          <w:tcPr>
            <w:tcW w:w="3256" w:type="dxa"/>
          </w:tcPr>
          <w:p w14:paraId="04C1C532" w14:textId="1650D54E" w:rsidR="00726837" w:rsidRDefault="00581395" w:rsidP="003A0210">
            <w:pPr>
              <w:rPr>
                <w:b/>
              </w:rPr>
            </w:pPr>
            <w:r>
              <w:rPr>
                <w:b/>
              </w:rPr>
              <w:t>Religion /Worldview:</w:t>
            </w:r>
            <w:r w:rsidR="00E41688">
              <w:rPr>
                <w:b/>
              </w:rPr>
              <w:t xml:space="preserve"> </w:t>
            </w:r>
            <w:r w:rsidR="00A0332E" w:rsidRPr="000232B6">
              <w:rPr>
                <w:b/>
                <w:bCs/>
              </w:rPr>
              <w:t xml:space="preserve"> Hinduism</w:t>
            </w:r>
          </w:p>
        </w:tc>
        <w:tc>
          <w:tcPr>
            <w:tcW w:w="8505" w:type="dxa"/>
          </w:tcPr>
          <w:p w14:paraId="18B6B8AD" w14:textId="618FA333" w:rsidR="00581395" w:rsidRDefault="00581395" w:rsidP="003A0210">
            <w:pPr>
              <w:rPr>
                <w:b/>
              </w:rPr>
            </w:pPr>
            <w:r>
              <w:rPr>
                <w:b/>
              </w:rPr>
              <w:t>Enquiry Question:</w:t>
            </w:r>
            <w:r w:rsidR="00E41688" w:rsidRPr="003E4A1F">
              <w:rPr>
                <w:b/>
                <w:bCs/>
                <w:sz w:val="24"/>
                <w:szCs w:val="24"/>
              </w:rPr>
              <w:t xml:space="preserve"> </w:t>
            </w:r>
            <w:r w:rsidR="00A0332E" w:rsidRPr="000232B6">
              <w:rPr>
                <w:b/>
                <w:bCs/>
              </w:rPr>
              <w:t xml:space="preserve"> Do beliefs in Karma, Samsara and Moksha help Hindus lead good lives?</w:t>
            </w:r>
          </w:p>
        </w:tc>
        <w:tc>
          <w:tcPr>
            <w:tcW w:w="3832" w:type="dxa"/>
          </w:tcPr>
          <w:p w14:paraId="34D79074" w14:textId="6BE425E7" w:rsidR="00581395" w:rsidRDefault="009C1827" w:rsidP="003A0210">
            <w:pPr>
              <w:rPr>
                <w:b/>
              </w:rPr>
            </w:pPr>
            <w:r w:rsidRPr="004A5E5C">
              <w:rPr>
                <w:b/>
              </w:rPr>
              <w:t>Age:</w:t>
            </w:r>
            <w:r>
              <w:rPr>
                <w:b/>
              </w:rPr>
              <w:t xml:space="preserve"> </w:t>
            </w:r>
            <w:r w:rsidR="004A5E5C">
              <w:rPr>
                <w:b/>
              </w:rPr>
              <w:t>9/10</w:t>
            </w:r>
            <w:r>
              <w:rPr>
                <w:b/>
              </w:rPr>
              <w:t xml:space="preserve">     </w:t>
            </w:r>
            <w:r w:rsidR="00581395">
              <w:rPr>
                <w:b/>
              </w:rPr>
              <w:t>Year Group</w:t>
            </w:r>
            <w:r w:rsidR="00E41688">
              <w:rPr>
                <w:b/>
              </w:rPr>
              <w:t>:</w:t>
            </w:r>
            <w:r w:rsidR="00A0332E" w:rsidRPr="000232B6">
              <w:rPr>
                <w:b/>
                <w:bCs/>
              </w:rPr>
              <w:t xml:space="preserve"> 5 </w:t>
            </w:r>
            <w:r w:rsidR="002B2ABE">
              <w:rPr>
                <w:b/>
                <w:bCs/>
              </w:rPr>
              <w:t xml:space="preserve">  </w:t>
            </w:r>
            <w:r w:rsidR="00A0332E" w:rsidRPr="000232B6">
              <w:rPr>
                <w:b/>
                <w:bCs/>
              </w:rPr>
              <w:t xml:space="preserve">Summer 1 </w:t>
            </w:r>
          </w:p>
        </w:tc>
      </w:tr>
      <w:tr w:rsidR="008C5A57" w14:paraId="0F849897" w14:textId="77777777" w:rsidTr="00464DC2">
        <w:tc>
          <w:tcPr>
            <w:tcW w:w="15593" w:type="dxa"/>
            <w:gridSpan w:val="3"/>
          </w:tcPr>
          <w:p w14:paraId="2DA78ACD" w14:textId="0E9FCBD7" w:rsidR="006F6D8E" w:rsidRPr="00FD23A6" w:rsidRDefault="008C5A57" w:rsidP="003A0210">
            <w:r w:rsidRPr="008C5A57">
              <w:t xml:space="preserve">In this </w:t>
            </w:r>
            <w:r w:rsidR="00F70E94">
              <w:t>enquiry</w:t>
            </w:r>
            <w:r w:rsidRPr="008C5A57">
              <w:t xml:space="preserve">, the children </w:t>
            </w:r>
            <w:r>
              <w:t xml:space="preserve">look at </w:t>
            </w:r>
            <w:r w:rsidR="00FD23A6">
              <w:t>the key beliefs concerning the cycle of life, death and rebirth. The</w:t>
            </w:r>
            <w:r w:rsidR="00762E5B">
              <w:t>y</w:t>
            </w:r>
            <w:r w:rsidR="00FD23A6">
              <w:t xml:space="preserve"> consider the importance of doing good deeds.</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2F347AAC" w14:textId="4E2A9143" w:rsidR="00A0332E" w:rsidRDefault="00A0332E" w:rsidP="00A0332E">
            <w:r w:rsidRPr="00FD6C6A">
              <w:t>This enquiry looks at some key concepts surrounding the cycle of life, death and reincarnation</w:t>
            </w:r>
          </w:p>
          <w:p w14:paraId="522E74F8" w14:textId="77777777" w:rsidR="00FD23A6" w:rsidRPr="000B237A" w:rsidRDefault="00FD23A6" w:rsidP="00FD23A6">
            <w:pPr>
              <w:rPr>
                <w:u w:val="single"/>
              </w:rPr>
            </w:pPr>
            <w:r w:rsidRPr="000B237A">
              <w:rPr>
                <w:u w:val="single"/>
              </w:rPr>
              <w:t>Samsara</w:t>
            </w:r>
          </w:p>
          <w:p w14:paraId="521386FD" w14:textId="1D079951" w:rsidR="00FD23A6" w:rsidRDefault="00FD23A6" w:rsidP="00FD23A6">
            <w:pPr>
              <w:rPr>
                <w:lang w:eastAsia="en-GB"/>
              </w:rPr>
            </w:pPr>
            <w:r w:rsidRPr="000B237A">
              <w:rPr>
                <w:lang w:eastAsia="en-GB"/>
              </w:rPr>
              <w:t>Hindus believe in reincarnation</w:t>
            </w:r>
            <w:r>
              <w:rPr>
                <w:lang w:eastAsia="en-GB"/>
              </w:rPr>
              <w:t>,</w:t>
            </w:r>
            <w:r w:rsidRPr="00081658">
              <w:rPr>
                <w:lang w:eastAsia="en-GB"/>
              </w:rPr>
              <w:t xml:space="preserve"> </w:t>
            </w:r>
            <w:r w:rsidRPr="00081658">
              <w:t>the cycle of rebirth</w:t>
            </w:r>
            <w:r w:rsidRPr="00081658">
              <w:rPr>
                <w:lang w:eastAsia="en-GB"/>
              </w:rPr>
              <w:t xml:space="preserve"> - a belief that the soul lives many lifetimes, in one body after another.</w:t>
            </w:r>
          </w:p>
          <w:p w14:paraId="5B8137DE" w14:textId="77777777" w:rsidR="00FD23A6" w:rsidRPr="00FD6C6A" w:rsidRDefault="00FD23A6" w:rsidP="00FD23A6">
            <w:pPr>
              <w:rPr>
                <w:u w:val="single"/>
              </w:rPr>
            </w:pPr>
            <w:r w:rsidRPr="00FD6C6A">
              <w:rPr>
                <w:u w:val="single"/>
              </w:rPr>
              <w:t>Karma</w:t>
            </w:r>
          </w:p>
          <w:p w14:paraId="479180BB" w14:textId="074925DB" w:rsidR="00FD23A6" w:rsidRPr="00FD23A6" w:rsidRDefault="00FD23A6" w:rsidP="00FD23A6">
            <w:pPr>
              <w:rPr>
                <w:b/>
                <w:bCs/>
              </w:rPr>
            </w:pPr>
            <w:r w:rsidRPr="00FD23A6">
              <w:rPr>
                <w:rStyle w:val="Strong"/>
                <w:rFonts w:cstheme="minorHAnsi"/>
                <w:b w:val="0"/>
                <w:bCs w:val="0"/>
                <w:color w:val="000000"/>
              </w:rPr>
              <w:t>Karma can be translated as actions and in a broad sense explains that our actions have consequences. Hindus believe that the soul passes through a cycle of many lives and the next life is always dependent on how the previous life was lived.</w:t>
            </w:r>
          </w:p>
          <w:p w14:paraId="60E952D5" w14:textId="77777777" w:rsidR="00FD23A6" w:rsidRPr="000B237A" w:rsidRDefault="00FD23A6" w:rsidP="00FD23A6">
            <w:pPr>
              <w:rPr>
                <w:u w:val="single"/>
              </w:rPr>
            </w:pPr>
            <w:r w:rsidRPr="000B237A">
              <w:rPr>
                <w:u w:val="single"/>
              </w:rPr>
              <w:t>Moksha</w:t>
            </w:r>
          </w:p>
          <w:p w14:paraId="0E27E5A6" w14:textId="721BAADD" w:rsidR="006F6D8E" w:rsidRPr="00FD23A6" w:rsidRDefault="00FD23A6" w:rsidP="00FD23A6">
            <w:pPr>
              <w:rPr>
                <w:b/>
                <w:bCs/>
              </w:rPr>
            </w:pPr>
            <w:r w:rsidRPr="00FD23A6">
              <w:rPr>
                <w:rStyle w:val="Strong"/>
                <w:rFonts w:cstheme="minorHAnsi"/>
                <w:b w:val="0"/>
                <w:bCs w:val="0"/>
                <w:color w:val="000000"/>
              </w:rPr>
              <w:t>The spiritual goal of a Hindu is to become one with Brahman.</w:t>
            </w:r>
          </w:p>
          <w:p w14:paraId="79C76A26" w14:textId="32D59F0D" w:rsidR="006F6D8E" w:rsidRDefault="00FD23A6" w:rsidP="00FD23A6">
            <w:r>
              <w:t>Moksha is linked closely to karma as the actions a person undertakes have a direct influence on their next life, so to achieve Moksha, good Karma must be accumulated.</w:t>
            </w:r>
          </w:p>
          <w:p w14:paraId="1FC829DC" w14:textId="5B0E9F11" w:rsidR="006F6D8E" w:rsidRDefault="00FD23A6" w:rsidP="00FD23A6">
            <w:r>
              <w:t>Some Hindus separate themselves from ordinary life to pursue a spiritual journey</w:t>
            </w:r>
          </w:p>
        </w:tc>
        <w:tc>
          <w:tcPr>
            <w:tcW w:w="4350" w:type="dxa"/>
          </w:tcPr>
          <w:p w14:paraId="5363E372" w14:textId="77777777" w:rsidR="002948B7" w:rsidRDefault="00A0332E" w:rsidP="003A0210">
            <w:pPr>
              <w:pStyle w:val="ListParagraph"/>
              <w:numPr>
                <w:ilvl w:val="0"/>
                <w:numId w:val="10"/>
              </w:numPr>
              <w:ind w:left="316" w:hanging="284"/>
            </w:pPr>
            <w:r>
              <w:t>Link Karma to the actions of Prince Rama in the Ramayana story – celebrated at Divali</w:t>
            </w:r>
          </w:p>
          <w:p w14:paraId="5CFAA47A" w14:textId="1D80DE25" w:rsidR="00762E5B" w:rsidRDefault="00762E5B" w:rsidP="003A0210">
            <w:pPr>
              <w:pStyle w:val="ListParagraph"/>
              <w:numPr>
                <w:ilvl w:val="0"/>
                <w:numId w:val="10"/>
              </w:numPr>
              <w:ind w:left="316" w:hanging="284"/>
            </w:pPr>
            <w:r>
              <w:t>Pilgrimage to the Ganges – would it bring good karma?</w:t>
            </w:r>
          </w:p>
        </w:tc>
        <w:tc>
          <w:tcPr>
            <w:tcW w:w="3344" w:type="dxa"/>
          </w:tcPr>
          <w:p w14:paraId="791E805E" w14:textId="77777777" w:rsidR="000C2346" w:rsidRDefault="00FD23A6" w:rsidP="000C2346">
            <w:pPr>
              <w:pStyle w:val="ListParagraph"/>
              <w:numPr>
                <w:ilvl w:val="0"/>
                <w:numId w:val="10"/>
              </w:numPr>
              <w:ind w:left="182" w:hanging="142"/>
            </w:pPr>
            <w:r>
              <w:t>What good actions could I do?</w:t>
            </w:r>
          </w:p>
          <w:p w14:paraId="073A5A34" w14:textId="77777777" w:rsidR="00FD23A6" w:rsidRDefault="00FD23A6" w:rsidP="000C2346">
            <w:pPr>
              <w:pStyle w:val="ListParagraph"/>
              <w:numPr>
                <w:ilvl w:val="0"/>
                <w:numId w:val="10"/>
              </w:numPr>
              <w:ind w:left="182" w:hanging="142"/>
            </w:pPr>
            <w:r>
              <w:t>What might happen if I do good things?</w:t>
            </w:r>
          </w:p>
          <w:p w14:paraId="779C7B52" w14:textId="126CB1C9" w:rsidR="00FD23A6" w:rsidRDefault="00FD23A6" w:rsidP="000C2346">
            <w:pPr>
              <w:pStyle w:val="ListParagraph"/>
              <w:numPr>
                <w:ilvl w:val="0"/>
                <w:numId w:val="10"/>
              </w:numPr>
              <w:ind w:left="182" w:hanging="142"/>
            </w:pPr>
            <w:r>
              <w:t xml:space="preserve">Will </w:t>
            </w:r>
            <w:r w:rsidR="002B2ABE">
              <w:t>it</w:t>
            </w:r>
            <w:r>
              <w:t xml:space="preserve"> help me if I do good things?</w:t>
            </w:r>
          </w:p>
          <w:p w14:paraId="44351DCC" w14:textId="77777777" w:rsidR="00FD23A6" w:rsidRDefault="00FD23A6" w:rsidP="000C2346">
            <w:pPr>
              <w:pStyle w:val="ListParagraph"/>
              <w:numPr>
                <w:ilvl w:val="0"/>
                <w:numId w:val="10"/>
              </w:numPr>
              <w:ind w:left="182" w:hanging="142"/>
            </w:pPr>
            <w:r>
              <w:t>Why is it important to not always expect a reward?</w:t>
            </w:r>
          </w:p>
          <w:p w14:paraId="1684C812" w14:textId="6697C0FD" w:rsidR="00FD23A6" w:rsidRDefault="00FD23A6" w:rsidP="000C2346">
            <w:pPr>
              <w:pStyle w:val="ListParagraph"/>
              <w:numPr>
                <w:ilvl w:val="0"/>
                <w:numId w:val="10"/>
              </w:numPr>
              <w:ind w:left="182" w:hanging="142"/>
            </w:pPr>
            <w:r>
              <w:t>What do I think happens at the end of life?</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37445CE1" w14:textId="3B57771F" w:rsidR="003A0210" w:rsidRDefault="00A0332E" w:rsidP="002B2ABE">
            <w:r w:rsidRPr="002B2ABE">
              <w:rPr>
                <w:b/>
                <w:bCs/>
              </w:rPr>
              <w:t>Karma</w:t>
            </w:r>
            <w:r w:rsidR="002B2ABE" w:rsidRPr="002B2ABE">
              <w:rPr>
                <w:b/>
                <w:bCs/>
              </w:rPr>
              <w:t>:</w:t>
            </w:r>
            <w:r w:rsidR="002B2ABE">
              <w:t xml:space="preserve"> </w:t>
            </w:r>
            <w:r>
              <w:t>actions and in particular the consequences of our actions in this life and the next</w:t>
            </w:r>
          </w:p>
          <w:p w14:paraId="7235B24B" w14:textId="5531B943" w:rsidR="00A0332E" w:rsidRDefault="00A0332E" w:rsidP="002B2ABE">
            <w:r w:rsidRPr="002B2ABE">
              <w:rPr>
                <w:b/>
                <w:bCs/>
              </w:rPr>
              <w:t>Samsara</w:t>
            </w:r>
            <w:r w:rsidR="002B2ABE">
              <w:t>:</w:t>
            </w:r>
            <w:r>
              <w:t xml:space="preserve"> the cycle of life including birth, life, death and rebirth</w:t>
            </w:r>
          </w:p>
          <w:p w14:paraId="597B34BC" w14:textId="40E9C57E" w:rsidR="00A0332E" w:rsidRDefault="00A0332E" w:rsidP="002B2ABE">
            <w:r w:rsidRPr="002B2ABE">
              <w:rPr>
                <w:b/>
                <w:bCs/>
              </w:rPr>
              <w:t>Moksha</w:t>
            </w:r>
            <w:r w:rsidR="002B2ABE">
              <w:t>:</w:t>
            </w:r>
            <w:r>
              <w:t xml:space="preserve"> </w:t>
            </w:r>
            <w:r w:rsidR="002B2ABE">
              <w:t>t</w:t>
            </w:r>
            <w:r>
              <w:t>he final release from the cycle of rebirth – to join with Brahman</w:t>
            </w:r>
          </w:p>
          <w:p w14:paraId="2FDE0430" w14:textId="3233AE2F" w:rsidR="00A0332E" w:rsidRDefault="00A0332E" w:rsidP="002B2ABE">
            <w:r w:rsidRPr="002B2ABE">
              <w:rPr>
                <w:b/>
                <w:bCs/>
              </w:rPr>
              <w:lastRenderedPageBreak/>
              <w:t>Sadhu</w:t>
            </w:r>
            <w:r w:rsidR="002B2ABE">
              <w:t xml:space="preserve">: </w:t>
            </w:r>
            <w:proofErr w:type="gramStart"/>
            <w:r w:rsidR="002B2ABE">
              <w:t>a</w:t>
            </w:r>
            <w:proofErr w:type="gramEnd"/>
            <w:r w:rsidR="002B2ABE">
              <w:t xml:space="preserve"> </w:t>
            </w:r>
            <w:r>
              <w:t>Holy man – usually one who has turned away from ordinary life to concentrate on spiritual matters</w:t>
            </w:r>
          </w:p>
          <w:p w14:paraId="602C3664" w14:textId="337F8820" w:rsidR="006F6D8E" w:rsidRDefault="006F6D8E" w:rsidP="003A0210"/>
        </w:tc>
        <w:tc>
          <w:tcPr>
            <w:tcW w:w="3730" w:type="dxa"/>
          </w:tcPr>
          <w:p w14:paraId="5E32D024" w14:textId="34D612E9" w:rsidR="00FD23A6" w:rsidRDefault="00FD23A6" w:rsidP="00FD23A6">
            <w:pPr>
              <w:pStyle w:val="ListParagraph"/>
              <w:numPr>
                <w:ilvl w:val="0"/>
                <w:numId w:val="12"/>
              </w:numPr>
              <w:ind w:left="174" w:hanging="142"/>
            </w:pPr>
            <w:r>
              <w:lastRenderedPageBreak/>
              <w:t>Kar</w:t>
            </w:r>
            <w:r w:rsidR="004F4860">
              <w:t>ma</w:t>
            </w:r>
            <w:r>
              <w:t xml:space="preserve"> (actions)</w:t>
            </w:r>
            <w:r w:rsidR="004F4860">
              <w:t xml:space="preserve"> - </w:t>
            </w:r>
            <w:r>
              <w:t xml:space="preserve">traditionally linked to dharma (duties) that needed to be performed. These duties were defined by the caste system which decided what class you were in and what jobs you would do. Performing these duties </w:t>
            </w:r>
            <w:r w:rsidR="004F4860">
              <w:t xml:space="preserve">well </w:t>
            </w:r>
            <w:r>
              <w:t xml:space="preserve">would </w:t>
            </w:r>
            <w:r w:rsidR="004F4860">
              <w:t>improve your chances of</w:t>
            </w:r>
            <w:r>
              <w:t xml:space="preserve"> a better </w:t>
            </w:r>
            <w:r w:rsidR="004F4860">
              <w:t xml:space="preserve">next </w:t>
            </w:r>
            <w:r>
              <w:t>life</w:t>
            </w:r>
            <w:r w:rsidR="004F4860">
              <w:t>.</w:t>
            </w:r>
          </w:p>
          <w:p w14:paraId="1B2F75E5" w14:textId="7890B962" w:rsidR="00FD23A6" w:rsidRDefault="00FD23A6" w:rsidP="00FD23A6">
            <w:pPr>
              <w:pStyle w:val="ListParagraph"/>
              <w:numPr>
                <w:ilvl w:val="0"/>
                <w:numId w:val="12"/>
              </w:numPr>
              <w:ind w:left="174" w:hanging="142"/>
            </w:pPr>
            <w:r>
              <w:lastRenderedPageBreak/>
              <w:t>Many Hindus now do not recognise the caste system but still value good karma</w:t>
            </w:r>
          </w:p>
        </w:tc>
        <w:tc>
          <w:tcPr>
            <w:tcW w:w="4350" w:type="dxa"/>
          </w:tcPr>
          <w:p w14:paraId="4039DFD2" w14:textId="76819510" w:rsidR="000C2346" w:rsidRDefault="00FD23A6" w:rsidP="006F6D8E">
            <w:pPr>
              <w:pStyle w:val="ListParagraph"/>
              <w:numPr>
                <w:ilvl w:val="0"/>
                <w:numId w:val="10"/>
              </w:numPr>
              <w:ind w:left="139" w:hanging="141"/>
            </w:pPr>
            <w:r>
              <w:lastRenderedPageBreak/>
              <w:t>The cycle of rebirth should be in a Hindu</w:t>
            </w:r>
            <w:r w:rsidR="002B2ABE">
              <w:t>’</w:t>
            </w:r>
            <w:r>
              <w:t>s mind each day as everything we do will have a consequence either in this life or the next</w:t>
            </w:r>
          </w:p>
          <w:p w14:paraId="06CA8452" w14:textId="59DB59F7" w:rsidR="00FD23A6" w:rsidRDefault="00FD23A6" w:rsidP="006F6D8E">
            <w:pPr>
              <w:pStyle w:val="ListParagraph"/>
              <w:numPr>
                <w:ilvl w:val="0"/>
                <w:numId w:val="10"/>
              </w:numPr>
              <w:ind w:left="139" w:hanging="141"/>
            </w:pPr>
            <w:r>
              <w:t>This belief would also prompt Hindus to help others around them be the best they can be – to help them attain the best situation next time</w:t>
            </w:r>
          </w:p>
        </w:tc>
        <w:tc>
          <w:tcPr>
            <w:tcW w:w="3344" w:type="dxa"/>
          </w:tcPr>
          <w:p w14:paraId="2243051F" w14:textId="2853387D" w:rsidR="000C2346" w:rsidRDefault="00A0332E" w:rsidP="000C2346">
            <w:r>
              <w:t>This unit brings together aspects of all the previous units as it concerns actions and their consequence</w:t>
            </w:r>
            <w:r w:rsidR="002B2ABE">
              <w:t>s. I</w:t>
            </w:r>
            <w:r>
              <w:t>t will refer to belief in Brahman, how people live their lives, show commitment and prepare for what happens after this life is over</w:t>
            </w:r>
            <w:r w:rsidR="002B2ABE">
              <w:t>.</w:t>
            </w:r>
          </w:p>
        </w:tc>
      </w:tr>
      <w:tr w:rsidR="00315F11" w14:paraId="6C0C96F7" w14:textId="77777777" w:rsidTr="00017263">
        <w:tc>
          <w:tcPr>
            <w:tcW w:w="15535" w:type="dxa"/>
            <w:gridSpan w:val="4"/>
          </w:tcPr>
          <w:p w14:paraId="7EA58A21" w14:textId="249930D4" w:rsidR="00315F11" w:rsidRPr="00FD23A6" w:rsidRDefault="00315F11" w:rsidP="000C2346">
            <w:r w:rsidRPr="007773EC">
              <w:rPr>
                <w:b/>
                <w:bCs/>
              </w:rPr>
              <w:t xml:space="preserve">Home learning ideas/questions: </w:t>
            </w:r>
          </w:p>
          <w:p w14:paraId="6DB8F7F0" w14:textId="5E917202" w:rsidR="00315F11" w:rsidRPr="007773EC" w:rsidRDefault="00FD23A6" w:rsidP="00315F11">
            <w:r w:rsidRPr="00FD23A6">
              <w:t xml:space="preserve">How could we help each other? How could we help others around us? How could we help people we </w:t>
            </w:r>
            <w:r w:rsidR="004F4860" w:rsidRPr="00FD23A6">
              <w:t>do not</w:t>
            </w:r>
            <w:r w:rsidRPr="00FD23A6">
              <w:t xml:space="preserve"> know</w:t>
            </w:r>
            <w:r w:rsidR="004F4860">
              <w:t>,</w:t>
            </w:r>
            <w:r w:rsidRPr="00FD23A6">
              <w:t xml:space="preserve"> who are in need?</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4F4860">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A27F" w14:textId="77777777" w:rsidR="00D65C50" w:rsidRDefault="00D65C50" w:rsidP="00B70E68">
      <w:pPr>
        <w:spacing w:after="0" w:line="240" w:lineRule="auto"/>
      </w:pPr>
      <w:r>
        <w:separator/>
      </w:r>
    </w:p>
  </w:endnote>
  <w:endnote w:type="continuationSeparator" w:id="0">
    <w:p w14:paraId="67BFF20F" w14:textId="77777777" w:rsidR="00D65C50" w:rsidRDefault="00D65C50"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F8E8B" w14:textId="77777777" w:rsidR="00D65C50" w:rsidRDefault="00D65C50" w:rsidP="00B70E68">
      <w:pPr>
        <w:spacing w:after="0" w:line="240" w:lineRule="auto"/>
      </w:pPr>
      <w:r>
        <w:separator/>
      </w:r>
    </w:p>
  </w:footnote>
  <w:footnote w:type="continuationSeparator" w:id="0">
    <w:p w14:paraId="53B7A823" w14:textId="77777777" w:rsidR="00D65C50" w:rsidRDefault="00D65C50"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BA1EB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0"/>
  </w:num>
  <w:num w:numId="6">
    <w:abstractNumId w:val="3"/>
  </w:num>
  <w:num w:numId="7">
    <w:abstractNumId w:val="2"/>
  </w:num>
  <w:num w:numId="8">
    <w:abstractNumId w:val="10"/>
  </w:num>
  <w:num w:numId="9">
    <w:abstractNumId w:val="5"/>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3044F"/>
    <w:rsid w:val="00161FED"/>
    <w:rsid w:val="00167F65"/>
    <w:rsid w:val="001A0ED3"/>
    <w:rsid w:val="001A6754"/>
    <w:rsid w:val="001D484E"/>
    <w:rsid w:val="0020017C"/>
    <w:rsid w:val="002220AE"/>
    <w:rsid w:val="002254C0"/>
    <w:rsid w:val="00244F3B"/>
    <w:rsid w:val="002554B6"/>
    <w:rsid w:val="00282236"/>
    <w:rsid w:val="002948B7"/>
    <w:rsid w:val="002B2ABE"/>
    <w:rsid w:val="002E4D68"/>
    <w:rsid w:val="003005AD"/>
    <w:rsid w:val="00315F11"/>
    <w:rsid w:val="00317B11"/>
    <w:rsid w:val="003433A8"/>
    <w:rsid w:val="0037205D"/>
    <w:rsid w:val="00375F33"/>
    <w:rsid w:val="003A0210"/>
    <w:rsid w:val="003B476D"/>
    <w:rsid w:val="003B7D5F"/>
    <w:rsid w:val="003C6003"/>
    <w:rsid w:val="004A0AEA"/>
    <w:rsid w:val="004A5E5C"/>
    <w:rsid w:val="004D3BE5"/>
    <w:rsid w:val="004D45DF"/>
    <w:rsid w:val="004E53D6"/>
    <w:rsid w:val="004F4860"/>
    <w:rsid w:val="00525765"/>
    <w:rsid w:val="00561FC1"/>
    <w:rsid w:val="00581395"/>
    <w:rsid w:val="005B7017"/>
    <w:rsid w:val="005C5FD1"/>
    <w:rsid w:val="005E25A6"/>
    <w:rsid w:val="005F6351"/>
    <w:rsid w:val="006938DD"/>
    <w:rsid w:val="006D6203"/>
    <w:rsid w:val="006F6D8E"/>
    <w:rsid w:val="00707D71"/>
    <w:rsid w:val="00726837"/>
    <w:rsid w:val="00762E5B"/>
    <w:rsid w:val="007773EC"/>
    <w:rsid w:val="0079269B"/>
    <w:rsid w:val="007960F8"/>
    <w:rsid w:val="007C4637"/>
    <w:rsid w:val="007E50B0"/>
    <w:rsid w:val="00803D5E"/>
    <w:rsid w:val="00813322"/>
    <w:rsid w:val="008509D8"/>
    <w:rsid w:val="008A7EC4"/>
    <w:rsid w:val="008C5A57"/>
    <w:rsid w:val="008F62B8"/>
    <w:rsid w:val="008F63A2"/>
    <w:rsid w:val="0098572D"/>
    <w:rsid w:val="009C1827"/>
    <w:rsid w:val="009D3E49"/>
    <w:rsid w:val="009D7821"/>
    <w:rsid w:val="00A0332E"/>
    <w:rsid w:val="00A137A3"/>
    <w:rsid w:val="00A21832"/>
    <w:rsid w:val="00A415B2"/>
    <w:rsid w:val="00A57EE8"/>
    <w:rsid w:val="00AA6554"/>
    <w:rsid w:val="00AD33A5"/>
    <w:rsid w:val="00B031BC"/>
    <w:rsid w:val="00B066D1"/>
    <w:rsid w:val="00B202D3"/>
    <w:rsid w:val="00B4001F"/>
    <w:rsid w:val="00B70E68"/>
    <w:rsid w:val="00BB3C2E"/>
    <w:rsid w:val="00BF5C10"/>
    <w:rsid w:val="00BF76E5"/>
    <w:rsid w:val="00C33AC9"/>
    <w:rsid w:val="00CA076E"/>
    <w:rsid w:val="00CA7DB3"/>
    <w:rsid w:val="00CB5660"/>
    <w:rsid w:val="00D019FE"/>
    <w:rsid w:val="00D628C8"/>
    <w:rsid w:val="00D65C50"/>
    <w:rsid w:val="00D83C89"/>
    <w:rsid w:val="00E1229F"/>
    <w:rsid w:val="00E27299"/>
    <w:rsid w:val="00E41688"/>
    <w:rsid w:val="00E77A1B"/>
    <w:rsid w:val="00E97491"/>
    <w:rsid w:val="00EF598C"/>
    <w:rsid w:val="00F56256"/>
    <w:rsid w:val="00F70E94"/>
    <w:rsid w:val="00F92D3B"/>
    <w:rsid w:val="00FB0465"/>
    <w:rsid w:val="00FB4EBC"/>
    <w:rsid w:val="00FD23A6"/>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character" w:styleId="Strong">
    <w:name w:val="Strong"/>
    <w:basedOn w:val="DefaultParagraphFont"/>
    <w:uiPriority w:val="22"/>
    <w:qFormat/>
    <w:rsid w:val="00FD2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5-Auber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A78F-F606-43BD-BD02-CDA86F65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cp:lastPrinted>2020-04-23T13:34:00Z</cp:lastPrinted>
  <dcterms:created xsi:type="dcterms:W3CDTF">2020-05-26T08:36:00Z</dcterms:created>
  <dcterms:modified xsi:type="dcterms:W3CDTF">2020-05-26T08:36:00Z</dcterms:modified>
</cp:coreProperties>
</file>