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0E1A" w14:textId="77777777" w:rsidR="001A6204" w:rsidRDefault="001A6204" w:rsidP="009C1827">
      <w:pPr>
        <w:spacing w:after="120"/>
        <w:jc w:val="center"/>
        <w:rPr>
          <w:b/>
          <w:bCs/>
          <w:sz w:val="40"/>
          <w:szCs w:val="40"/>
        </w:rPr>
      </w:pPr>
    </w:p>
    <w:p w14:paraId="0E34E3F8" w14:textId="3AAD8B65" w:rsidR="001A6204" w:rsidRDefault="001A6204" w:rsidP="009C1827">
      <w:pPr>
        <w:spacing w:after="120"/>
        <w:jc w:val="center"/>
        <w:rPr>
          <w:b/>
          <w:bCs/>
          <w:sz w:val="40"/>
          <w:szCs w:val="40"/>
        </w:rPr>
      </w:pPr>
      <w:r>
        <w:rPr>
          <w:noProof/>
        </w:rPr>
        <w:drawing>
          <wp:inline distT="0" distB="0" distL="0" distR="0" wp14:anchorId="2EC96F9E" wp14:editId="00CBD6A5">
            <wp:extent cx="1812022" cy="1041224"/>
            <wp:effectExtent l="0" t="0" r="4445" b="635"/>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061FD4D7" w:rsidR="009C1827" w:rsidRPr="001A6204" w:rsidRDefault="00B874BF" w:rsidP="009C1827">
      <w:pPr>
        <w:spacing w:after="120"/>
        <w:jc w:val="center"/>
        <w:rPr>
          <w:b/>
          <w:bCs/>
          <w:sz w:val="40"/>
          <w:szCs w:val="40"/>
        </w:rPr>
      </w:pPr>
      <w:r w:rsidRPr="001A6204">
        <w:rPr>
          <w:noProof/>
        </w:rPr>
        <w:drawing>
          <wp:anchor distT="0" distB="0" distL="114300" distR="114300" simplePos="0" relativeHeight="251663360" behindDoc="1" locked="0" layoutInCell="1" allowOverlap="1" wp14:anchorId="2AF47355" wp14:editId="76FEF948">
            <wp:simplePos x="0" y="0"/>
            <wp:positionH relativeFrom="column">
              <wp:posOffset>9438640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3" name="Picture 3" descr="Egbert Ow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Pr="001A6204">
        <w:rPr>
          <w:noProof/>
        </w:rPr>
        <w:drawing>
          <wp:anchor distT="0" distB="0" distL="114300" distR="114300" simplePos="0" relativeHeight="251661312" behindDoc="1" locked="0" layoutInCell="1" allowOverlap="1" wp14:anchorId="7557A1C1" wp14:editId="5763E2E0">
            <wp:simplePos x="0" y="0"/>
            <wp:positionH relativeFrom="column">
              <wp:posOffset>-247650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1" name="Picture 1" descr="Egbert Ow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009C1827" w:rsidRPr="001A6204">
        <w:rPr>
          <w:b/>
          <w:bCs/>
          <w:sz w:val="40"/>
          <w:szCs w:val="40"/>
        </w:rPr>
        <w:t>Discovery RE Knowledge Organiser</w:t>
      </w:r>
    </w:p>
    <w:p w14:paraId="3426C6EE" w14:textId="3885BE96"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r w:rsidR="00B874BF" w:rsidRPr="00B874BF">
        <w:rPr>
          <w:noProof/>
        </w:rPr>
        <w:t xml:space="preserve"> </w:t>
      </w:r>
    </w:p>
    <w:p w14:paraId="39B3DC50" w14:textId="5297C6DD"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8788"/>
        <w:gridCol w:w="3549"/>
      </w:tblGrid>
      <w:tr w:rsidR="00581395" w14:paraId="4CCD702E" w14:textId="77777777" w:rsidTr="007559B2">
        <w:tc>
          <w:tcPr>
            <w:tcW w:w="3256" w:type="dxa"/>
          </w:tcPr>
          <w:p w14:paraId="04C1C532" w14:textId="7FF217FF" w:rsidR="00726837" w:rsidRDefault="00581395" w:rsidP="003A0210">
            <w:pPr>
              <w:rPr>
                <w:b/>
              </w:rPr>
            </w:pPr>
            <w:r>
              <w:rPr>
                <w:b/>
              </w:rPr>
              <w:t>Religion /Worldview:</w:t>
            </w:r>
            <w:r w:rsidR="00E41688">
              <w:rPr>
                <w:b/>
              </w:rPr>
              <w:t xml:space="preserve"> </w:t>
            </w:r>
            <w:r w:rsidR="007559B2">
              <w:rPr>
                <w:b/>
                <w:bCs/>
              </w:rPr>
              <w:t>Christianity</w:t>
            </w:r>
          </w:p>
        </w:tc>
        <w:tc>
          <w:tcPr>
            <w:tcW w:w="8788" w:type="dxa"/>
          </w:tcPr>
          <w:p w14:paraId="18B6B8AD" w14:textId="12673F74" w:rsidR="00581395" w:rsidRDefault="00581395" w:rsidP="003A0210">
            <w:pPr>
              <w:rPr>
                <w:b/>
              </w:rPr>
            </w:pPr>
            <w:r>
              <w:rPr>
                <w:b/>
              </w:rPr>
              <w:t>Enquiry Question</w:t>
            </w:r>
            <w:r w:rsidRPr="007559B2">
              <w:rPr>
                <w:b/>
              </w:rPr>
              <w:t>:</w:t>
            </w:r>
            <w:r w:rsidR="00E41688" w:rsidRPr="007559B2">
              <w:rPr>
                <w:b/>
                <w:bCs/>
              </w:rPr>
              <w:t xml:space="preserve"> </w:t>
            </w:r>
            <w:r w:rsidR="00DA6D33" w:rsidRPr="007559B2">
              <w:rPr>
                <w:b/>
                <w:bCs/>
              </w:rPr>
              <w:t xml:space="preserve"> </w:t>
            </w:r>
            <w:r w:rsidR="007559B2" w:rsidRPr="007559B2">
              <w:rPr>
                <w:b/>
                <w:bCs/>
              </w:rPr>
              <w:t xml:space="preserve"> What is the most significant part of the nativity story for Christians today?</w:t>
            </w:r>
          </w:p>
        </w:tc>
        <w:tc>
          <w:tcPr>
            <w:tcW w:w="3549" w:type="dxa"/>
          </w:tcPr>
          <w:p w14:paraId="34D79074" w14:textId="36731D55" w:rsidR="00581395" w:rsidRDefault="009C1827" w:rsidP="003A0210">
            <w:pPr>
              <w:rPr>
                <w:b/>
              </w:rPr>
            </w:pPr>
            <w:r>
              <w:rPr>
                <w:b/>
              </w:rPr>
              <w:t xml:space="preserve">Age: </w:t>
            </w:r>
            <w:r w:rsidR="00B94AA9">
              <w:rPr>
                <w:b/>
              </w:rPr>
              <w:t xml:space="preserve"> </w:t>
            </w:r>
            <w:r w:rsidR="00B874BF">
              <w:rPr>
                <w:b/>
              </w:rPr>
              <w:t>8/9</w:t>
            </w:r>
            <w:r>
              <w:rPr>
                <w:b/>
              </w:rPr>
              <w:t xml:space="preserve">   </w:t>
            </w:r>
            <w:r w:rsidR="00581395">
              <w:rPr>
                <w:b/>
              </w:rPr>
              <w:t>Year Group</w:t>
            </w:r>
            <w:r w:rsidR="00E41688">
              <w:rPr>
                <w:b/>
              </w:rPr>
              <w:t xml:space="preserve">: </w:t>
            </w:r>
            <w:r w:rsidR="00DA6D33" w:rsidRPr="003F6E55">
              <w:rPr>
                <w:b/>
                <w:bCs/>
              </w:rPr>
              <w:t xml:space="preserve">4 Autumn </w:t>
            </w:r>
            <w:r w:rsidR="007559B2">
              <w:rPr>
                <w:b/>
                <w:bCs/>
              </w:rPr>
              <w:t>2</w:t>
            </w:r>
          </w:p>
        </w:tc>
      </w:tr>
      <w:tr w:rsidR="008C5A57" w14:paraId="0F849897" w14:textId="77777777" w:rsidTr="00464DC2">
        <w:tc>
          <w:tcPr>
            <w:tcW w:w="15593" w:type="dxa"/>
            <w:gridSpan w:val="3"/>
          </w:tcPr>
          <w:p w14:paraId="2DA78ACD" w14:textId="12AA71F4" w:rsidR="006F6D8E" w:rsidRPr="00DA6D33" w:rsidRDefault="007559B2" w:rsidP="003A0210">
            <w:r w:rsidRPr="008C41E2">
              <w:t>This enquiry investigates the significance and symbolism of elements of the Christmas story to Christians today.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828"/>
        <w:gridCol w:w="4252"/>
        <w:gridCol w:w="3344"/>
      </w:tblGrid>
      <w:tr w:rsidR="000C2346" w14:paraId="63D95500" w14:textId="77777777" w:rsidTr="009A644B">
        <w:tc>
          <w:tcPr>
            <w:tcW w:w="7939" w:type="dxa"/>
            <w:gridSpan w:val="2"/>
          </w:tcPr>
          <w:p w14:paraId="2D162A50" w14:textId="771ADB06" w:rsidR="000C2346" w:rsidRDefault="000C2346" w:rsidP="000C2346">
            <w:r w:rsidRPr="00E41688">
              <w:rPr>
                <w:b/>
                <w:bCs/>
              </w:rPr>
              <w:t>Core Knowledge</w:t>
            </w:r>
            <w:r>
              <w:t xml:space="preserve"> (see also background information documents)</w:t>
            </w:r>
          </w:p>
        </w:tc>
        <w:tc>
          <w:tcPr>
            <w:tcW w:w="4252"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9A644B">
        <w:tc>
          <w:tcPr>
            <w:tcW w:w="7939" w:type="dxa"/>
            <w:gridSpan w:val="2"/>
          </w:tcPr>
          <w:p w14:paraId="1EAF03A2" w14:textId="597DCAE6" w:rsidR="009A644B" w:rsidRDefault="009A644B" w:rsidP="009A644B">
            <w:pPr>
              <w:pStyle w:val="ListParagraph"/>
              <w:numPr>
                <w:ilvl w:val="0"/>
                <w:numId w:val="13"/>
              </w:numPr>
            </w:pPr>
            <w:r>
              <w:t xml:space="preserve">Jesus was born in Bethlehem and Christians believe he was God’s son. Mary was his mother and Joseph was </w:t>
            </w:r>
            <w:r w:rsidR="001A6204">
              <w:t>engaged</w:t>
            </w:r>
            <w:r>
              <w:t xml:space="preserve"> to her at the time.</w:t>
            </w:r>
          </w:p>
          <w:p w14:paraId="5D61B17F" w14:textId="03B3AAE0" w:rsidR="006F6D8E" w:rsidRDefault="009A644B" w:rsidP="009A644B">
            <w:pPr>
              <w:pStyle w:val="ListParagraph"/>
              <w:numPr>
                <w:ilvl w:val="0"/>
                <w:numId w:val="13"/>
              </w:numPr>
            </w:pPr>
            <w:r>
              <w:t>The elements of the Christingle have a symbolism</w:t>
            </w:r>
          </w:p>
          <w:p w14:paraId="3E3DED49" w14:textId="77777777" w:rsidR="009A644B" w:rsidRPr="009A644B" w:rsidRDefault="009A644B" w:rsidP="009A644B">
            <w:pPr>
              <w:numPr>
                <w:ilvl w:val="1"/>
                <w:numId w:val="13"/>
              </w:numPr>
              <w:spacing w:before="100" w:beforeAutospacing="1" w:after="100" w:afterAutospacing="1"/>
              <w:rPr>
                <w:rFonts w:eastAsia="Times New Roman" w:cstheme="minorHAnsi"/>
                <w:color w:val="222222"/>
                <w:lang w:eastAsia="en-GB"/>
              </w:rPr>
            </w:pPr>
            <w:r w:rsidRPr="009A644B">
              <w:rPr>
                <w:rFonts w:eastAsia="Times New Roman" w:cstheme="minorHAnsi"/>
                <w:color w:val="222222"/>
                <w:lang w:eastAsia="en-GB"/>
              </w:rPr>
              <w:t>The </w:t>
            </w:r>
            <w:r w:rsidRPr="009A644B">
              <w:rPr>
                <w:rFonts w:eastAsia="Times New Roman" w:cstheme="minorHAnsi"/>
                <w:b/>
                <w:bCs/>
                <w:color w:val="222222"/>
                <w:lang w:eastAsia="en-GB"/>
              </w:rPr>
              <w:t>orange</w:t>
            </w:r>
            <w:r w:rsidRPr="009A644B">
              <w:rPr>
                <w:rFonts w:eastAsia="Times New Roman" w:cstheme="minorHAnsi"/>
                <w:color w:val="222222"/>
                <w:lang w:eastAsia="en-GB"/>
              </w:rPr>
              <w:t> represents the world.</w:t>
            </w:r>
          </w:p>
          <w:p w14:paraId="68C4DB44" w14:textId="2C9A6E52" w:rsidR="009A644B" w:rsidRPr="009A644B" w:rsidRDefault="009A644B" w:rsidP="009A644B">
            <w:pPr>
              <w:numPr>
                <w:ilvl w:val="1"/>
                <w:numId w:val="13"/>
              </w:numPr>
              <w:spacing w:before="100" w:beforeAutospacing="1" w:after="100" w:afterAutospacing="1"/>
              <w:rPr>
                <w:rFonts w:eastAsia="Times New Roman" w:cstheme="minorHAnsi"/>
                <w:color w:val="222222"/>
                <w:lang w:eastAsia="en-GB"/>
              </w:rPr>
            </w:pPr>
            <w:r w:rsidRPr="009A644B">
              <w:rPr>
                <w:rFonts w:eastAsia="Times New Roman" w:cstheme="minorHAnsi"/>
                <w:color w:val="222222"/>
                <w:lang w:eastAsia="en-GB"/>
              </w:rPr>
              <w:t>The </w:t>
            </w:r>
            <w:r w:rsidRPr="009A644B">
              <w:rPr>
                <w:rFonts w:eastAsia="Times New Roman" w:cstheme="minorHAnsi"/>
                <w:b/>
                <w:bCs/>
                <w:color w:val="222222"/>
                <w:lang w:eastAsia="en-GB"/>
              </w:rPr>
              <w:t>candle</w:t>
            </w:r>
            <w:r w:rsidRPr="009A644B">
              <w:rPr>
                <w:rFonts w:eastAsia="Times New Roman" w:cstheme="minorHAnsi"/>
                <w:color w:val="222222"/>
                <w:lang w:eastAsia="en-GB"/>
              </w:rPr>
              <w:t> reminds Christians of Jesus who</w:t>
            </w:r>
            <w:r>
              <w:rPr>
                <w:rFonts w:eastAsia="Times New Roman" w:cstheme="minorHAnsi"/>
                <w:color w:val="222222"/>
                <w:lang w:eastAsia="en-GB"/>
              </w:rPr>
              <w:t>m</w:t>
            </w:r>
            <w:r w:rsidRPr="009A644B">
              <w:rPr>
                <w:rFonts w:eastAsia="Times New Roman" w:cstheme="minorHAnsi"/>
                <w:color w:val="222222"/>
                <w:lang w:eastAsia="en-GB"/>
              </w:rPr>
              <w:t xml:space="preserve"> they believe to be the light of the world.</w:t>
            </w:r>
          </w:p>
          <w:p w14:paraId="631CA00F" w14:textId="77777777" w:rsidR="009A644B" w:rsidRPr="009A644B" w:rsidRDefault="009A644B" w:rsidP="009A644B">
            <w:pPr>
              <w:numPr>
                <w:ilvl w:val="1"/>
                <w:numId w:val="13"/>
              </w:numPr>
              <w:spacing w:before="100" w:beforeAutospacing="1" w:after="100" w:afterAutospacing="1"/>
              <w:rPr>
                <w:rFonts w:eastAsia="Times New Roman" w:cstheme="minorHAnsi"/>
                <w:color w:val="222222"/>
                <w:lang w:eastAsia="en-GB"/>
              </w:rPr>
            </w:pPr>
            <w:r w:rsidRPr="009A644B">
              <w:rPr>
                <w:rFonts w:eastAsia="Times New Roman" w:cstheme="minorHAnsi"/>
                <w:color w:val="222222"/>
                <w:lang w:eastAsia="en-GB"/>
              </w:rPr>
              <w:t>The </w:t>
            </w:r>
            <w:r w:rsidRPr="009A644B">
              <w:rPr>
                <w:rFonts w:eastAsia="Times New Roman" w:cstheme="minorHAnsi"/>
                <w:b/>
                <w:bCs/>
                <w:color w:val="222222"/>
                <w:lang w:eastAsia="en-GB"/>
              </w:rPr>
              <w:t>red ribbon</w:t>
            </w:r>
            <w:r w:rsidRPr="009A644B">
              <w:rPr>
                <w:rFonts w:eastAsia="Times New Roman" w:cstheme="minorHAnsi"/>
                <w:color w:val="222222"/>
                <w:lang w:eastAsia="en-GB"/>
              </w:rPr>
              <w:t> goes all round the 'world' and being the colour of blood, reminds Christians that Jesus died.</w:t>
            </w:r>
          </w:p>
          <w:p w14:paraId="5C354FEA" w14:textId="58F43B79" w:rsidR="009A644B" w:rsidRPr="009A644B" w:rsidRDefault="009A644B" w:rsidP="009A644B">
            <w:pPr>
              <w:numPr>
                <w:ilvl w:val="1"/>
                <w:numId w:val="13"/>
              </w:numPr>
              <w:spacing w:before="100" w:beforeAutospacing="1" w:after="100" w:afterAutospacing="1"/>
              <w:rPr>
                <w:rFonts w:eastAsia="Times New Roman" w:cstheme="minorHAnsi"/>
                <w:color w:val="222222"/>
                <w:lang w:eastAsia="en-GB"/>
              </w:rPr>
            </w:pPr>
            <w:r w:rsidRPr="009A644B">
              <w:rPr>
                <w:rFonts w:eastAsia="Times New Roman" w:cstheme="minorHAnsi"/>
                <w:color w:val="222222"/>
                <w:lang w:eastAsia="en-GB"/>
              </w:rPr>
              <w:t>The </w:t>
            </w:r>
            <w:r w:rsidRPr="009A644B">
              <w:rPr>
                <w:rFonts w:eastAsia="Times New Roman" w:cstheme="minorHAnsi"/>
                <w:b/>
                <w:bCs/>
                <w:color w:val="222222"/>
                <w:lang w:eastAsia="en-GB"/>
              </w:rPr>
              <w:t>four cocktail sticks</w:t>
            </w:r>
            <w:r w:rsidRPr="009A644B">
              <w:rPr>
                <w:rFonts w:eastAsia="Times New Roman" w:cstheme="minorHAnsi"/>
                <w:color w:val="222222"/>
                <w:lang w:eastAsia="en-GB"/>
              </w:rPr>
              <w:t> </w:t>
            </w:r>
            <w:r>
              <w:rPr>
                <w:rFonts w:eastAsia="Times New Roman" w:cstheme="minorHAnsi"/>
                <w:color w:val="222222"/>
                <w:lang w:eastAsia="en-GB"/>
              </w:rPr>
              <w:t>are</w:t>
            </w:r>
            <w:r w:rsidRPr="009A644B">
              <w:rPr>
                <w:rFonts w:eastAsia="Times New Roman" w:cstheme="minorHAnsi"/>
                <w:color w:val="222222"/>
                <w:lang w:eastAsia="en-GB"/>
              </w:rPr>
              <w:t xml:space="preserve"> the four seasons </w:t>
            </w:r>
          </w:p>
          <w:p w14:paraId="1FC829DC" w14:textId="343537C1" w:rsidR="009A644B" w:rsidRPr="009A644B" w:rsidRDefault="009A644B" w:rsidP="009A644B">
            <w:pPr>
              <w:numPr>
                <w:ilvl w:val="1"/>
                <w:numId w:val="13"/>
              </w:numPr>
              <w:spacing w:before="100" w:beforeAutospacing="1" w:after="100" w:afterAutospacing="1"/>
              <w:rPr>
                <w:rFonts w:eastAsia="Times New Roman" w:cstheme="minorHAnsi"/>
                <w:color w:val="222222"/>
                <w:lang w:eastAsia="en-GB"/>
              </w:rPr>
            </w:pPr>
            <w:r w:rsidRPr="009A644B">
              <w:rPr>
                <w:rFonts w:eastAsia="Times New Roman" w:cstheme="minorHAnsi"/>
                <w:color w:val="222222"/>
                <w:lang w:eastAsia="en-GB"/>
              </w:rPr>
              <w:t>The </w:t>
            </w:r>
            <w:r w:rsidRPr="009A644B">
              <w:rPr>
                <w:rFonts w:eastAsia="Times New Roman" w:cstheme="minorHAnsi"/>
                <w:b/>
                <w:bCs/>
                <w:color w:val="222222"/>
                <w:lang w:eastAsia="en-GB"/>
              </w:rPr>
              <w:t>sweets</w:t>
            </w:r>
            <w:r w:rsidRPr="009A644B">
              <w:rPr>
                <w:rFonts w:eastAsia="Times New Roman" w:cstheme="minorHAnsi"/>
                <w:color w:val="222222"/>
                <w:lang w:eastAsia="en-GB"/>
              </w:rPr>
              <w:t xml:space="preserve"> (or sometimes dried fruit) remind Christians of God's gifts to the world </w:t>
            </w:r>
            <w:r>
              <w:rPr>
                <w:rFonts w:eastAsia="Times New Roman" w:cstheme="minorHAnsi"/>
                <w:color w:val="222222"/>
                <w:lang w:eastAsia="en-GB"/>
              </w:rPr>
              <w:t xml:space="preserve"> </w:t>
            </w:r>
          </w:p>
        </w:tc>
        <w:tc>
          <w:tcPr>
            <w:tcW w:w="4252" w:type="dxa"/>
          </w:tcPr>
          <w:p w14:paraId="77632226" w14:textId="77777777" w:rsidR="002948B7" w:rsidRDefault="009A644B" w:rsidP="00DA6D33">
            <w:pPr>
              <w:pStyle w:val="ListParagraph"/>
              <w:numPr>
                <w:ilvl w:val="0"/>
                <w:numId w:val="10"/>
              </w:numPr>
              <w:ind w:left="316" w:hanging="284"/>
            </w:pPr>
            <w:r>
              <w:t>Jesus as the Son of God and light of the world – leading Christians to God hence the star and the candle in the Christingle.</w:t>
            </w:r>
          </w:p>
          <w:p w14:paraId="5CFAA47A" w14:textId="49DDAC80" w:rsidR="000A62F2" w:rsidRDefault="000A62F2" w:rsidP="00DA6D33">
            <w:pPr>
              <w:pStyle w:val="ListParagraph"/>
              <w:numPr>
                <w:ilvl w:val="0"/>
                <w:numId w:val="10"/>
              </w:numPr>
              <w:ind w:left="316" w:hanging="284"/>
            </w:pPr>
            <w:r>
              <w:t>The An</w:t>
            </w:r>
            <w:r w:rsidR="001A6204">
              <w:t>n</w:t>
            </w:r>
            <w:r>
              <w:t>unciation: that Mary agreed to the Angel Gabriel’s request when God sent him to ask her to be the mother of Jesus.</w:t>
            </w:r>
          </w:p>
        </w:tc>
        <w:tc>
          <w:tcPr>
            <w:tcW w:w="3344" w:type="dxa"/>
          </w:tcPr>
          <w:p w14:paraId="6BF7061A" w14:textId="77777777" w:rsidR="000C2346" w:rsidRDefault="007559B2" w:rsidP="00DA6D33">
            <w:pPr>
              <w:pStyle w:val="ListParagraph"/>
              <w:numPr>
                <w:ilvl w:val="0"/>
                <w:numId w:val="10"/>
              </w:numPr>
              <w:ind w:left="182" w:hanging="142"/>
            </w:pPr>
            <w:r>
              <w:t>What symbols are meaningful to me?</w:t>
            </w:r>
          </w:p>
          <w:p w14:paraId="724AF76C" w14:textId="77777777" w:rsidR="007559B2" w:rsidRDefault="007559B2" w:rsidP="007559B2">
            <w:pPr>
              <w:pStyle w:val="ListParagraph"/>
              <w:numPr>
                <w:ilvl w:val="0"/>
                <w:numId w:val="10"/>
              </w:numPr>
              <w:ind w:left="182" w:hanging="142"/>
            </w:pPr>
            <w:r>
              <w:t>What could I use as symbols to portray things that are important to me in my life?</w:t>
            </w:r>
          </w:p>
          <w:p w14:paraId="1684C812" w14:textId="1DB950E9" w:rsidR="007559B2" w:rsidRDefault="007559B2" w:rsidP="007559B2">
            <w:pPr>
              <w:pStyle w:val="ListParagraph"/>
              <w:numPr>
                <w:ilvl w:val="0"/>
                <w:numId w:val="10"/>
              </w:numPr>
              <w:ind w:left="182" w:hanging="142"/>
            </w:pPr>
            <w:r>
              <w:t>Is it important that others understand my symbolism or is it something personal that only I comprehend?</w:t>
            </w:r>
          </w:p>
        </w:tc>
      </w:tr>
      <w:tr w:rsidR="000C2346" w14:paraId="6A76872A" w14:textId="77777777" w:rsidTr="009A644B">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828" w:type="dxa"/>
          </w:tcPr>
          <w:p w14:paraId="191EB2DD" w14:textId="0875C0FD" w:rsidR="000C2346" w:rsidRPr="003A0210" w:rsidRDefault="000C2346" w:rsidP="003A0210">
            <w:pPr>
              <w:jc w:val="center"/>
              <w:rPr>
                <w:b/>
                <w:bCs/>
              </w:rPr>
            </w:pPr>
            <w:r w:rsidRPr="003A0210">
              <w:rPr>
                <w:b/>
                <w:bCs/>
              </w:rPr>
              <w:t>History/Context</w:t>
            </w:r>
          </w:p>
        </w:tc>
        <w:tc>
          <w:tcPr>
            <w:tcW w:w="4252"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9A644B">
        <w:tc>
          <w:tcPr>
            <w:tcW w:w="4111" w:type="dxa"/>
          </w:tcPr>
          <w:p w14:paraId="1E060698" w14:textId="0F7C7017" w:rsidR="006F6D8E" w:rsidRDefault="00A115CB" w:rsidP="000A62F2">
            <w:r w:rsidRPr="000A62F2">
              <w:rPr>
                <w:b/>
                <w:bCs/>
              </w:rPr>
              <w:t>I</w:t>
            </w:r>
            <w:r w:rsidR="007559B2" w:rsidRPr="000A62F2">
              <w:rPr>
                <w:b/>
                <w:bCs/>
              </w:rPr>
              <w:t>ncarnation</w:t>
            </w:r>
            <w:r w:rsidR="007559B2">
              <w:t>: God becoming man or literally being “made flesh</w:t>
            </w:r>
          </w:p>
          <w:p w14:paraId="602C3664" w14:textId="7200B94B" w:rsidR="007559B2" w:rsidRDefault="007559B2" w:rsidP="000A62F2">
            <w:r w:rsidRPr="000A62F2">
              <w:rPr>
                <w:b/>
                <w:bCs/>
              </w:rPr>
              <w:t>Christingle</w:t>
            </w:r>
            <w:r w:rsidR="000A62F2" w:rsidRPr="000A62F2">
              <w:rPr>
                <w:b/>
                <w:bCs/>
              </w:rPr>
              <w:t>:</w:t>
            </w:r>
            <w:r>
              <w:t xml:space="preserve"> An ornament made in many homes and church at Christmas with significance to each part of it. </w:t>
            </w:r>
          </w:p>
        </w:tc>
        <w:tc>
          <w:tcPr>
            <w:tcW w:w="3828" w:type="dxa"/>
          </w:tcPr>
          <w:p w14:paraId="711A9B4F" w14:textId="3966B067" w:rsidR="009A644B" w:rsidRDefault="009A644B" w:rsidP="009A644B">
            <w:r>
              <w:t xml:space="preserve">See </w:t>
            </w:r>
            <w:r w:rsidR="000A62F2">
              <w:t>Yr3 Autumn 2</w:t>
            </w:r>
            <w:r>
              <w:t xml:space="preserve"> for the contextual significance of the shepherds.</w:t>
            </w:r>
          </w:p>
          <w:p w14:paraId="1B2F75E5" w14:textId="2D03427E" w:rsidR="000C2346" w:rsidRDefault="009A644B" w:rsidP="009A644B">
            <w:r w:rsidRPr="008C41E2">
              <w:t xml:space="preserve">The Christingle (which means “Christ-light”) </w:t>
            </w:r>
            <w:r w:rsidRPr="009A644B">
              <w:rPr>
                <w:shd w:val="clear" w:color="auto" w:fill="FFFFFF"/>
              </w:rPr>
              <w:t xml:space="preserve">started in Germany in 1747. The tradition spread with the movement of the church. In 1968 the Christingle Service was brought to the Anglican </w:t>
            </w:r>
            <w:r w:rsidRPr="009A644B">
              <w:rPr>
                <w:shd w:val="clear" w:color="auto" w:fill="FFFFFF"/>
              </w:rPr>
              <w:lastRenderedPageBreak/>
              <w:t>Church of England</w:t>
            </w:r>
            <w:r>
              <w:rPr>
                <w:shd w:val="clear" w:color="auto" w:fill="FFFFFF"/>
              </w:rPr>
              <w:t xml:space="preserve"> although many different denominations now use it. </w:t>
            </w:r>
          </w:p>
        </w:tc>
        <w:tc>
          <w:tcPr>
            <w:tcW w:w="4252" w:type="dxa"/>
          </w:tcPr>
          <w:p w14:paraId="102137AC" w14:textId="0F0C548A" w:rsidR="000C2346" w:rsidRDefault="007559B2" w:rsidP="007559B2">
            <w:pPr>
              <w:pStyle w:val="ListParagraph"/>
              <w:numPr>
                <w:ilvl w:val="0"/>
                <w:numId w:val="10"/>
              </w:numPr>
              <w:ind w:left="139" w:hanging="141"/>
            </w:pPr>
            <w:r>
              <w:lastRenderedPageBreak/>
              <w:t xml:space="preserve"> Symbols are still used today e.g.</w:t>
            </w:r>
            <w:r w:rsidR="009A644B">
              <w:t xml:space="preserve"> the </w:t>
            </w:r>
            <w:r w:rsidR="00A115CB">
              <w:t>Christingles</w:t>
            </w:r>
            <w:r w:rsidR="009A644B">
              <w:t>,</w:t>
            </w:r>
            <w:r>
              <w:t xml:space="preserve"> a star or angel on the top of the Christmas tree.</w:t>
            </w:r>
          </w:p>
          <w:p w14:paraId="08934B4C" w14:textId="77777777" w:rsidR="007559B2" w:rsidRDefault="007559B2" w:rsidP="007559B2">
            <w:pPr>
              <w:pStyle w:val="ListParagraph"/>
              <w:numPr>
                <w:ilvl w:val="0"/>
                <w:numId w:val="10"/>
              </w:numPr>
              <w:ind w:left="139" w:hanging="141"/>
            </w:pPr>
            <w:r>
              <w:t>Christians may also have a “crib” or nativity scene in their own home to remind them of the elements of the Christmas story.</w:t>
            </w:r>
          </w:p>
          <w:p w14:paraId="06CA8452" w14:textId="3959EAC4" w:rsidR="007559B2" w:rsidRDefault="007559B2" w:rsidP="007559B2">
            <w:pPr>
              <w:pStyle w:val="ListParagraph"/>
              <w:numPr>
                <w:ilvl w:val="0"/>
                <w:numId w:val="10"/>
              </w:numPr>
              <w:ind w:left="139" w:hanging="141"/>
            </w:pPr>
            <w:r>
              <w:lastRenderedPageBreak/>
              <w:t>Many Christians will attend</w:t>
            </w:r>
            <w:r w:rsidR="001A6204">
              <w:t xml:space="preserve"> Church</w:t>
            </w:r>
            <w:r>
              <w:t xml:space="preserve"> services over the Christmas period to commemorate the birth of Jesus. </w:t>
            </w:r>
          </w:p>
        </w:tc>
        <w:tc>
          <w:tcPr>
            <w:tcW w:w="3344" w:type="dxa"/>
          </w:tcPr>
          <w:p w14:paraId="2243051F" w14:textId="338A4446" w:rsidR="000C2346" w:rsidRDefault="007559B2" w:rsidP="000C2346">
            <w:r>
              <w:lastRenderedPageBreak/>
              <w:t>Builds on previous Christmas enquiries, especially on the symbolism of the aspects of the Christmas story discussed in Yr3 Autumn 2.</w:t>
            </w:r>
          </w:p>
        </w:tc>
      </w:tr>
      <w:tr w:rsidR="00315F11" w14:paraId="6C0C96F7" w14:textId="77777777" w:rsidTr="00017263">
        <w:tc>
          <w:tcPr>
            <w:tcW w:w="15535" w:type="dxa"/>
            <w:gridSpan w:val="4"/>
          </w:tcPr>
          <w:p w14:paraId="7EA58A21" w14:textId="76EEF634" w:rsidR="00315F11" w:rsidRPr="009A644B" w:rsidRDefault="00315F11" w:rsidP="000C2346">
            <w:r w:rsidRPr="007773EC">
              <w:rPr>
                <w:b/>
                <w:bCs/>
              </w:rPr>
              <w:t xml:space="preserve">Home learning ideas/questions: </w:t>
            </w:r>
            <w:r w:rsidR="009A644B">
              <w:t>Could our household make a Christingle or some other symbolic home decoration which shows the things that are important to us in our lives? Can we discuss what is important to each of us and to us all?</w:t>
            </w:r>
          </w:p>
          <w:p w14:paraId="6DB8F7F0" w14:textId="36452BE5" w:rsidR="00315F11" w:rsidRPr="007773EC" w:rsidRDefault="00315F11" w:rsidP="007559B2"/>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FF3A" w14:textId="77777777" w:rsidR="002427BB" w:rsidRDefault="002427BB" w:rsidP="00B70E68">
      <w:pPr>
        <w:spacing w:after="0" w:line="240" w:lineRule="auto"/>
      </w:pPr>
      <w:r>
        <w:separator/>
      </w:r>
    </w:p>
  </w:endnote>
  <w:endnote w:type="continuationSeparator" w:id="0">
    <w:p w14:paraId="434B08D8" w14:textId="77777777" w:rsidR="002427BB" w:rsidRDefault="002427BB"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9B93B" w14:textId="77777777" w:rsidR="002427BB" w:rsidRDefault="002427BB" w:rsidP="00B70E68">
      <w:pPr>
        <w:spacing w:after="0" w:line="240" w:lineRule="auto"/>
      </w:pPr>
      <w:r>
        <w:separator/>
      </w:r>
    </w:p>
  </w:footnote>
  <w:footnote w:type="continuationSeparator" w:id="0">
    <w:p w14:paraId="58223A62" w14:textId="77777777" w:rsidR="002427BB" w:rsidRDefault="002427BB"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A563D"/>
    <w:multiLevelType w:val="multilevel"/>
    <w:tmpl w:val="51E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323E9"/>
    <w:multiLevelType w:val="hybridMultilevel"/>
    <w:tmpl w:val="B18E35D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A35612"/>
    <w:multiLevelType w:val="hybridMultilevel"/>
    <w:tmpl w:val="72D84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0"/>
  </w:num>
  <w:num w:numId="6">
    <w:abstractNumId w:val="3"/>
  </w:num>
  <w:num w:numId="7">
    <w:abstractNumId w:val="2"/>
  </w:num>
  <w:num w:numId="8">
    <w:abstractNumId w:val="13"/>
  </w:num>
  <w:num w:numId="9">
    <w:abstractNumId w:val="5"/>
  </w:num>
  <w:num w:numId="10">
    <w:abstractNumId w:val="1"/>
  </w:num>
  <w:num w:numId="11">
    <w:abstractNumId w:val="14"/>
  </w:num>
  <w:num w:numId="12">
    <w:abstractNumId w:val="10"/>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147DE"/>
    <w:rsid w:val="000A62F2"/>
    <w:rsid w:val="000B7225"/>
    <w:rsid w:val="000C2346"/>
    <w:rsid w:val="000E7CC1"/>
    <w:rsid w:val="00111095"/>
    <w:rsid w:val="00113025"/>
    <w:rsid w:val="00161FED"/>
    <w:rsid w:val="001A0ED3"/>
    <w:rsid w:val="001A6204"/>
    <w:rsid w:val="001A6754"/>
    <w:rsid w:val="001D484E"/>
    <w:rsid w:val="0020017C"/>
    <w:rsid w:val="002220AE"/>
    <w:rsid w:val="002254C0"/>
    <w:rsid w:val="002427BB"/>
    <w:rsid w:val="00244F3B"/>
    <w:rsid w:val="002554B6"/>
    <w:rsid w:val="00282236"/>
    <w:rsid w:val="002948B7"/>
    <w:rsid w:val="002E4D68"/>
    <w:rsid w:val="003005AD"/>
    <w:rsid w:val="00315F11"/>
    <w:rsid w:val="00317B11"/>
    <w:rsid w:val="003433A8"/>
    <w:rsid w:val="0035631A"/>
    <w:rsid w:val="0037205D"/>
    <w:rsid w:val="00375F33"/>
    <w:rsid w:val="003A0210"/>
    <w:rsid w:val="003B476D"/>
    <w:rsid w:val="003B7D5F"/>
    <w:rsid w:val="003C6003"/>
    <w:rsid w:val="004A0AEA"/>
    <w:rsid w:val="004D3BE5"/>
    <w:rsid w:val="004D45DF"/>
    <w:rsid w:val="004E53D6"/>
    <w:rsid w:val="00525765"/>
    <w:rsid w:val="00561FC1"/>
    <w:rsid w:val="005741F6"/>
    <w:rsid w:val="00581395"/>
    <w:rsid w:val="005B7017"/>
    <w:rsid w:val="005C5FD1"/>
    <w:rsid w:val="005E25A6"/>
    <w:rsid w:val="005F6351"/>
    <w:rsid w:val="006938DD"/>
    <w:rsid w:val="006D6203"/>
    <w:rsid w:val="006F6D8E"/>
    <w:rsid w:val="00707D71"/>
    <w:rsid w:val="00726837"/>
    <w:rsid w:val="007559B2"/>
    <w:rsid w:val="007773EC"/>
    <w:rsid w:val="0079269B"/>
    <w:rsid w:val="007960F8"/>
    <w:rsid w:val="007C4637"/>
    <w:rsid w:val="007D725D"/>
    <w:rsid w:val="007E50B0"/>
    <w:rsid w:val="00803D5E"/>
    <w:rsid w:val="00813322"/>
    <w:rsid w:val="008509D8"/>
    <w:rsid w:val="008A7EC4"/>
    <w:rsid w:val="008C5A57"/>
    <w:rsid w:val="008F62B8"/>
    <w:rsid w:val="008F63A2"/>
    <w:rsid w:val="0098572D"/>
    <w:rsid w:val="009A644B"/>
    <w:rsid w:val="009C1827"/>
    <w:rsid w:val="009D3E49"/>
    <w:rsid w:val="009D7821"/>
    <w:rsid w:val="00A115CB"/>
    <w:rsid w:val="00A137A3"/>
    <w:rsid w:val="00A21832"/>
    <w:rsid w:val="00A415B2"/>
    <w:rsid w:val="00A57EE8"/>
    <w:rsid w:val="00AA6554"/>
    <w:rsid w:val="00AD33A5"/>
    <w:rsid w:val="00B031BC"/>
    <w:rsid w:val="00B066D1"/>
    <w:rsid w:val="00B202D3"/>
    <w:rsid w:val="00B4001F"/>
    <w:rsid w:val="00B70E68"/>
    <w:rsid w:val="00B874BF"/>
    <w:rsid w:val="00B94AA9"/>
    <w:rsid w:val="00BB3C2E"/>
    <w:rsid w:val="00BF5C10"/>
    <w:rsid w:val="00BF76E5"/>
    <w:rsid w:val="00C33AC9"/>
    <w:rsid w:val="00CA076E"/>
    <w:rsid w:val="00CA7DB3"/>
    <w:rsid w:val="00CB5660"/>
    <w:rsid w:val="00D019FE"/>
    <w:rsid w:val="00D628C8"/>
    <w:rsid w:val="00D83C89"/>
    <w:rsid w:val="00DA6D33"/>
    <w:rsid w:val="00E1229F"/>
    <w:rsid w:val="00E27299"/>
    <w:rsid w:val="00E41688"/>
    <w:rsid w:val="00E77A1B"/>
    <w:rsid w:val="00E97491"/>
    <w:rsid w:val="00EF598C"/>
    <w:rsid w:val="00F3070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styleId="NormalWeb">
    <w:name w:val="Normal (Web)"/>
    <w:basedOn w:val="Normal"/>
    <w:uiPriority w:val="99"/>
    <w:semiHidden/>
    <w:unhideWhenUsed/>
    <w:rsid w:val="009A64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4-Egber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D19C-4D6F-4B4C-B52E-80B2E435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2020-05-26T07:43:00Z</dcterms:created>
  <dcterms:modified xsi:type="dcterms:W3CDTF">2020-05-26T07:43:00Z</dcterms:modified>
</cp:coreProperties>
</file>